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0F" w:rsidRPr="00B7700F" w:rsidRDefault="00B7700F" w:rsidP="00B7700F">
      <w:pPr>
        <w:rPr>
          <w:b/>
        </w:rPr>
      </w:pPr>
      <w:r w:rsidRPr="00B7700F">
        <w:rPr>
          <w:b/>
        </w:rPr>
        <w:t>Instructions for authors/style guide</w:t>
      </w:r>
    </w:p>
    <w:p w:rsidR="00B7700F" w:rsidRDefault="00B7700F" w:rsidP="00B7700F"/>
    <w:p w:rsidR="00B7700F" w:rsidRPr="00B7700F" w:rsidRDefault="00B7700F" w:rsidP="00B7700F">
      <w:pPr>
        <w:rPr>
          <w:sz w:val="24"/>
          <w:szCs w:val="24"/>
          <w:u w:val="single"/>
        </w:rPr>
      </w:pPr>
      <w:r w:rsidRPr="00B7700F">
        <w:rPr>
          <w:sz w:val="24"/>
          <w:szCs w:val="24"/>
          <w:u w:val="single"/>
        </w:rPr>
        <w:t>General</w:t>
      </w:r>
    </w:p>
    <w:p w:rsidR="00B7700F" w:rsidRPr="00B7700F" w:rsidRDefault="00B7700F" w:rsidP="00B7700F">
      <w:pPr>
        <w:rPr>
          <w:sz w:val="24"/>
          <w:szCs w:val="24"/>
        </w:rPr>
      </w:pPr>
      <w:r w:rsidRPr="00B7700F">
        <w:rPr>
          <w:sz w:val="24"/>
          <w:szCs w:val="24"/>
        </w:rPr>
        <w:t xml:space="preserve">Write your manuscript in Word, using Times New Roman 12p, double spacing. References </w:t>
      </w:r>
      <w:proofErr w:type="gramStart"/>
      <w:r w:rsidRPr="00B7700F">
        <w:rPr>
          <w:sz w:val="24"/>
          <w:szCs w:val="24"/>
        </w:rPr>
        <w:t>should be compiled</w:t>
      </w:r>
      <w:proofErr w:type="gramEnd"/>
      <w:r w:rsidRPr="00B7700F">
        <w:rPr>
          <w:sz w:val="24"/>
          <w:szCs w:val="24"/>
        </w:rPr>
        <w:t xml:space="preserve"> in one single comprehensive list at the end of the text. Use Harvard parentheses system for references in the text. UK style spelling. Use notes sparingly and format them as footnotes. Make double spacing for new </w:t>
      </w:r>
      <w:proofErr w:type="gramStart"/>
      <w:r w:rsidRPr="00B7700F">
        <w:rPr>
          <w:sz w:val="24"/>
          <w:szCs w:val="24"/>
        </w:rPr>
        <w:t>paragraphs,</w:t>
      </w:r>
      <w:proofErr w:type="gramEnd"/>
      <w:r w:rsidRPr="00B7700F">
        <w:rPr>
          <w:sz w:val="24"/>
          <w:szCs w:val="24"/>
        </w:rPr>
        <w:t xml:space="preserve"> do not make any indentation of the first line. </w:t>
      </w:r>
    </w:p>
    <w:p w:rsidR="00B7700F" w:rsidRPr="00B7700F" w:rsidRDefault="00B7700F" w:rsidP="00B7700F">
      <w:pPr>
        <w:rPr>
          <w:sz w:val="24"/>
          <w:szCs w:val="24"/>
        </w:rPr>
      </w:pPr>
    </w:p>
    <w:p w:rsidR="00B7700F" w:rsidRPr="00B7700F" w:rsidRDefault="00B7700F" w:rsidP="00B7700F">
      <w:pPr>
        <w:rPr>
          <w:sz w:val="24"/>
          <w:szCs w:val="24"/>
          <w:u w:val="single"/>
        </w:rPr>
      </w:pPr>
      <w:r w:rsidRPr="00B7700F">
        <w:rPr>
          <w:sz w:val="24"/>
          <w:szCs w:val="24"/>
          <w:u w:val="single"/>
        </w:rPr>
        <w:t>References in the text</w:t>
      </w:r>
    </w:p>
    <w:p w:rsidR="00B7700F" w:rsidRPr="00B7700F" w:rsidRDefault="00B7700F" w:rsidP="00B7700F">
      <w:pPr>
        <w:rPr>
          <w:sz w:val="24"/>
          <w:szCs w:val="24"/>
        </w:rPr>
      </w:pPr>
      <w:r w:rsidRPr="00B7700F">
        <w:rPr>
          <w:sz w:val="24"/>
          <w:szCs w:val="24"/>
        </w:rPr>
        <w:t xml:space="preserve">Divide the page numbers from the year of publication with a colon (e.g. </w:t>
      </w:r>
      <w:proofErr w:type="spellStart"/>
      <w:r w:rsidRPr="00B7700F">
        <w:rPr>
          <w:sz w:val="24"/>
          <w:szCs w:val="24"/>
        </w:rPr>
        <w:t>Eskeröd</w:t>
      </w:r>
      <w:proofErr w:type="spellEnd"/>
      <w:r w:rsidRPr="00B7700F">
        <w:rPr>
          <w:sz w:val="24"/>
          <w:szCs w:val="24"/>
        </w:rPr>
        <w:t xml:space="preserve"> 1959: 669). Use a semi colon to differentiate several references (e.g. </w:t>
      </w:r>
      <w:proofErr w:type="spellStart"/>
      <w:r w:rsidRPr="00B7700F">
        <w:rPr>
          <w:sz w:val="24"/>
          <w:szCs w:val="24"/>
        </w:rPr>
        <w:t>Eskeröd</w:t>
      </w:r>
      <w:proofErr w:type="spellEnd"/>
      <w:r w:rsidRPr="00B7700F">
        <w:rPr>
          <w:sz w:val="24"/>
          <w:szCs w:val="24"/>
        </w:rPr>
        <w:t xml:space="preserve"> 1959: 669; Finnström 2008). For citations, use double inverted citations mark (“”) for the citation and simple (‘’) for citations inside citations. If you want to use citation-marks (not direct quotes) of single terms and expressions, use simple inverted commas (‘’), e.g. ‘tribe’, ‘the tragedy of the commons’. Non-English terms not translated should be used sparsely, but if so use italics (e.g. </w:t>
      </w:r>
      <w:proofErr w:type="spellStart"/>
      <w:r w:rsidRPr="00B7700F">
        <w:rPr>
          <w:i/>
          <w:sz w:val="24"/>
          <w:szCs w:val="24"/>
        </w:rPr>
        <w:t>kritisk</w:t>
      </w:r>
      <w:proofErr w:type="spellEnd"/>
      <w:r w:rsidRPr="00B7700F">
        <w:rPr>
          <w:i/>
          <w:sz w:val="24"/>
          <w:szCs w:val="24"/>
        </w:rPr>
        <w:t xml:space="preserve"> </w:t>
      </w:r>
      <w:proofErr w:type="spellStart"/>
      <w:r w:rsidRPr="00B7700F">
        <w:rPr>
          <w:i/>
          <w:sz w:val="24"/>
          <w:szCs w:val="24"/>
        </w:rPr>
        <w:t>etnografi</w:t>
      </w:r>
      <w:proofErr w:type="spellEnd"/>
      <w:r w:rsidRPr="00B7700F">
        <w:rPr>
          <w:sz w:val="24"/>
          <w:szCs w:val="24"/>
        </w:rPr>
        <w:t xml:space="preserve">, </w:t>
      </w:r>
      <w:proofErr w:type="spellStart"/>
      <w:r w:rsidRPr="00B7700F">
        <w:rPr>
          <w:i/>
          <w:sz w:val="24"/>
          <w:szCs w:val="24"/>
        </w:rPr>
        <w:t>mogoya</w:t>
      </w:r>
      <w:proofErr w:type="spellEnd"/>
      <w:r w:rsidRPr="00B7700F">
        <w:rPr>
          <w:sz w:val="24"/>
          <w:szCs w:val="24"/>
        </w:rPr>
        <w:t xml:space="preserve">, </w:t>
      </w:r>
      <w:proofErr w:type="spellStart"/>
      <w:r w:rsidRPr="00B7700F">
        <w:rPr>
          <w:i/>
          <w:sz w:val="24"/>
          <w:szCs w:val="24"/>
        </w:rPr>
        <w:t>touche</w:t>
      </w:r>
      <w:proofErr w:type="spellEnd"/>
      <w:r w:rsidRPr="00B7700F">
        <w:rPr>
          <w:i/>
          <w:sz w:val="24"/>
          <w:szCs w:val="24"/>
        </w:rPr>
        <w:t xml:space="preserve"> pas à </w:t>
      </w:r>
      <w:proofErr w:type="gramStart"/>
      <w:r w:rsidRPr="00B7700F">
        <w:rPr>
          <w:i/>
          <w:sz w:val="24"/>
          <w:szCs w:val="24"/>
        </w:rPr>
        <w:t>mon</w:t>
      </w:r>
      <w:proofErr w:type="gramEnd"/>
      <w:r w:rsidRPr="00B7700F">
        <w:rPr>
          <w:i/>
          <w:sz w:val="24"/>
          <w:szCs w:val="24"/>
        </w:rPr>
        <w:t xml:space="preserve"> </w:t>
      </w:r>
      <w:proofErr w:type="spellStart"/>
      <w:r w:rsidRPr="00B7700F">
        <w:rPr>
          <w:i/>
          <w:sz w:val="24"/>
          <w:szCs w:val="24"/>
        </w:rPr>
        <w:t>pote</w:t>
      </w:r>
      <w:proofErr w:type="spellEnd"/>
      <w:r w:rsidRPr="00B7700F">
        <w:rPr>
          <w:sz w:val="24"/>
          <w:szCs w:val="24"/>
        </w:rPr>
        <w:t xml:space="preserve">). </w:t>
      </w:r>
    </w:p>
    <w:p w:rsidR="00B7700F" w:rsidRPr="00B7700F" w:rsidRDefault="00B7700F" w:rsidP="00B7700F">
      <w:pPr>
        <w:rPr>
          <w:sz w:val="24"/>
          <w:szCs w:val="24"/>
        </w:rPr>
      </w:pPr>
    </w:p>
    <w:p w:rsidR="00B7700F" w:rsidRPr="00B7700F" w:rsidRDefault="00B7700F" w:rsidP="00B7700F">
      <w:pPr>
        <w:rPr>
          <w:sz w:val="24"/>
          <w:szCs w:val="24"/>
        </w:rPr>
      </w:pPr>
      <w:r w:rsidRPr="00B7700F">
        <w:rPr>
          <w:sz w:val="24"/>
          <w:szCs w:val="24"/>
        </w:rPr>
        <w:t>Indent citations should be 10p without citations marks or without italics, e.g.</w:t>
      </w:r>
    </w:p>
    <w:p w:rsidR="00B7700F" w:rsidRPr="00B7700F" w:rsidRDefault="00B7700F" w:rsidP="00B7700F">
      <w:pPr>
        <w:ind w:left="720"/>
        <w:rPr>
          <w:sz w:val="20"/>
          <w:szCs w:val="20"/>
        </w:rPr>
      </w:pPr>
      <w:r w:rsidRPr="00B7700F">
        <w:rPr>
          <w:sz w:val="20"/>
          <w:szCs w:val="20"/>
        </w:rPr>
        <w:t xml:space="preserve">Children belonging to national minorities, which include the indigenous Sami people, </w:t>
      </w:r>
      <w:proofErr w:type="gramStart"/>
      <w:r w:rsidRPr="00B7700F">
        <w:rPr>
          <w:sz w:val="20"/>
          <w:szCs w:val="20"/>
        </w:rPr>
        <w:t>should […] be supported in their language development in their national minority language and promoted in their development of a cultural identity</w:t>
      </w:r>
      <w:proofErr w:type="gramEnd"/>
      <w:r w:rsidRPr="00B7700F">
        <w:rPr>
          <w:sz w:val="20"/>
          <w:szCs w:val="20"/>
        </w:rPr>
        <w:t>. The preschool should thereby help to protect and promote the languages and cultures of the national minorities. (National Agency for Education 2018: 9)</w:t>
      </w:r>
    </w:p>
    <w:p w:rsidR="00B7700F" w:rsidRPr="00B7700F" w:rsidRDefault="00B7700F" w:rsidP="00B7700F">
      <w:pPr>
        <w:rPr>
          <w:sz w:val="20"/>
          <w:szCs w:val="20"/>
        </w:rPr>
      </w:pPr>
    </w:p>
    <w:p w:rsidR="00B7700F" w:rsidRPr="00B7700F" w:rsidRDefault="00B7700F" w:rsidP="00B7700F">
      <w:pPr>
        <w:rPr>
          <w:sz w:val="24"/>
          <w:szCs w:val="24"/>
          <w:u w:val="single"/>
        </w:rPr>
      </w:pPr>
      <w:r w:rsidRPr="00B7700F">
        <w:rPr>
          <w:sz w:val="24"/>
          <w:szCs w:val="24"/>
          <w:u w:val="single"/>
        </w:rPr>
        <w:t>Reference list</w:t>
      </w:r>
    </w:p>
    <w:p w:rsidR="00B7700F" w:rsidRPr="00B7700F" w:rsidRDefault="00B7700F" w:rsidP="00B7700F">
      <w:pPr>
        <w:rPr>
          <w:sz w:val="24"/>
          <w:szCs w:val="24"/>
        </w:rPr>
      </w:pPr>
      <w:r w:rsidRPr="00B7700F">
        <w:rPr>
          <w:sz w:val="24"/>
          <w:szCs w:val="24"/>
        </w:rPr>
        <w:t xml:space="preserve">Use only initials in given names. </w:t>
      </w:r>
    </w:p>
    <w:p w:rsidR="00B7700F" w:rsidRPr="00B7700F" w:rsidRDefault="00B7700F" w:rsidP="00B7700F">
      <w:pPr>
        <w:rPr>
          <w:sz w:val="24"/>
          <w:szCs w:val="24"/>
        </w:rPr>
      </w:pPr>
      <w:r w:rsidRPr="00B7700F">
        <w:rPr>
          <w:sz w:val="24"/>
          <w:szCs w:val="24"/>
        </w:rPr>
        <w:t xml:space="preserve">The date of publication </w:t>
      </w:r>
      <w:proofErr w:type="gramStart"/>
      <w:r w:rsidRPr="00B7700F">
        <w:rPr>
          <w:sz w:val="24"/>
          <w:szCs w:val="24"/>
        </w:rPr>
        <w:t>should be preceded and followed by a full stop</w:t>
      </w:r>
      <w:proofErr w:type="gramEnd"/>
      <w:r w:rsidRPr="00B7700F">
        <w:rPr>
          <w:sz w:val="24"/>
          <w:szCs w:val="24"/>
        </w:rPr>
        <w:t>.</w:t>
      </w:r>
    </w:p>
    <w:p w:rsidR="00B7700F" w:rsidRPr="00B7700F" w:rsidRDefault="00B7700F" w:rsidP="00B7700F">
      <w:pPr>
        <w:rPr>
          <w:sz w:val="24"/>
          <w:szCs w:val="24"/>
        </w:rPr>
      </w:pPr>
      <w:r w:rsidRPr="00B7700F">
        <w:rPr>
          <w:sz w:val="24"/>
          <w:szCs w:val="24"/>
        </w:rPr>
        <w:t>Divide the page numbers from the year of publication with a colon.</w:t>
      </w:r>
    </w:p>
    <w:p w:rsidR="00B7700F" w:rsidRPr="00B7700F" w:rsidRDefault="00B7700F" w:rsidP="00B7700F">
      <w:pPr>
        <w:rPr>
          <w:sz w:val="24"/>
          <w:szCs w:val="24"/>
        </w:rPr>
      </w:pPr>
      <w:r w:rsidRPr="00B7700F">
        <w:rPr>
          <w:sz w:val="24"/>
          <w:szCs w:val="24"/>
        </w:rPr>
        <w:t>No page-number in edited volumes.</w:t>
      </w:r>
    </w:p>
    <w:p w:rsidR="00B7700F" w:rsidRPr="00B7700F" w:rsidRDefault="00B7700F" w:rsidP="00B7700F">
      <w:pPr>
        <w:rPr>
          <w:sz w:val="24"/>
          <w:szCs w:val="24"/>
        </w:rPr>
      </w:pPr>
      <w:r w:rsidRPr="00B7700F">
        <w:rPr>
          <w:sz w:val="24"/>
          <w:szCs w:val="24"/>
        </w:rPr>
        <w:t>In the case of two authors</w:t>
      </w:r>
      <w:r w:rsidRPr="00B7700F">
        <w:rPr>
          <w:sz w:val="24"/>
          <w:szCs w:val="24"/>
        </w:rPr>
        <w:t>,</w:t>
      </w:r>
      <w:r w:rsidRPr="00B7700F">
        <w:rPr>
          <w:sz w:val="24"/>
          <w:szCs w:val="24"/>
        </w:rPr>
        <w:t xml:space="preserve"> use the word “and” between them. </w:t>
      </w:r>
      <w:r>
        <w:rPr>
          <w:sz w:val="24"/>
          <w:szCs w:val="24"/>
        </w:rPr>
        <w:t xml:space="preserve">More than two authors, use commas (,) and “and”, e.g. </w:t>
      </w:r>
      <w:proofErr w:type="spellStart"/>
      <w:r w:rsidRPr="00B7700F">
        <w:rPr>
          <w:sz w:val="24"/>
          <w:szCs w:val="24"/>
        </w:rPr>
        <w:t>Dellenborg</w:t>
      </w:r>
      <w:proofErr w:type="spellEnd"/>
      <w:r w:rsidRPr="00B7700F">
        <w:rPr>
          <w:sz w:val="24"/>
          <w:szCs w:val="24"/>
        </w:rPr>
        <w:t>, L.</w:t>
      </w:r>
      <w:bookmarkStart w:id="0" w:name="_GoBack"/>
      <w:bookmarkEnd w:id="0"/>
      <w:r w:rsidRPr="00B7700F">
        <w:rPr>
          <w:sz w:val="24"/>
          <w:szCs w:val="24"/>
        </w:rPr>
        <w:t>, C.</w:t>
      </w:r>
      <w:r>
        <w:rPr>
          <w:sz w:val="24"/>
          <w:szCs w:val="24"/>
        </w:rPr>
        <w:t xml:space="preserve"> </w:t>
      </w:r>
      <w:proofErr w:type="spellStart"/>
      <w:r>
        <w:rPr>
          <w:sz w:val="24"/>
          <w:szCs w:val="24"/>
        </w:rPr>
        <w:t>Skott</w:t>
      </w:r>
      <w:proofErr w:type="spellEnd"/>
      <w:r>
        <w:rPr>
          <w:sz w:val="24"/>
          <w:szCs w:val="24"/>
        </w:rPr>
        <w:t xml:space="preserve"> and E. </w:t>
      </w:r>
      <w:proofErr w:type="spellStart"/>
      <w:r>
        <w:rPr>
          <w:sz w:val="24"/>
          <w:szCs w:val="24"/>
        </w:rPr>
        <w:t>Jakobsson</w:t>
      </w:r>
      <w:proofErr w:type="spellEnd"/>
      <w:r>
        <w:rPr>
          <w:sz w:val="24"/>
          <w:szCs w:val="24"/>
        </w:rPr>
        <w:t>. 2012.</w:t>
      </w:r>
    </w:p>
    <w:p w:rsidR="00B7700F" w:rsidRPr="00B7700F" w:rsidRDefault="00B7700F" w:rsidP="00B7700F">
      <w:pPr>
        <w:rPr>
          <w:sz w:val="24"/>
          <w:szCs w:val="24"/>
        </w:rPr>
      </w:pPr>
      <w:r w:rsidRPr="00B7700F">
        <w:rPr>
          <w:sz w:val="24"/>
          <w:szCs w:val="24"/>
        </w:rPr>
        <w:t xml:space="preserve">Internet sources </w:t>
      </w:r>
      <w:proofErr w:type="gramStart"/>
      <w:r w:rsidRPr="00B7700F">
        <w:rPr>
          <w:sz w:val="24"/>
          <w:szCs w:val="24"/>
        </w:rPr>
        <w:t>are referred</w:t>
      </w:r>
      <w:proofErr w:type="gramEnd"/>
      <w:r w:rsidRPr="00B7700F">
        <w:rPr>
          <w:sz w:val="24"/>
          <w:szCs w:val="24"/>
        </w:rPr>
        <w:t xml:space="preserve"> to</w:t>
      </w:r>
      <w:r w:rsidRPr="00B7700F">
        <w:rPr>
          <w:sz w:val="24"/>
          <w:szCs w:val="24"/>
        </w:rPr>
        <w:t xml:space="preserve"> by the date of consultation; Access 6 July 2018: www</w:t>
      </w:r>
    </w:p>
    <w:p w:rsidR="00B7700F" w:rsidRPr="00B7700F" w:rsidRDefault="00B7700F" w:rsidP="00B7700F">
      <w:pPr>
        <w:rPr>
          <w:sz w:val="24"/>
          <w:szCs w:val="24"/>
        </w:rPr>
      </w:pPr>
    </w:p>
    <w:p w:rsidR="00B7700F" w:rsidRPr="00B7700F" w:rsidRDefault="00B7700F" w:rsidP="00B7700F">
      <w:pPr>
        <w:rPr>
          <w:sz w:val="24"/>
          <w:szCs w:val="24"/>
        </w:rPr>
      </w:pPr>
      <w:r w:rsidRPr="00B7700F">
        <w:rPr>
          <w:sz w:val="24"/>
          <w:szCs w:val="24"/>
        </w:rPr>
        <w:t>Examples of format for reference list</w:t>
      </w:r>
    </w:p>
    <w:p w:rsidR="00B7700F" w:rsidRPr="00B7700F" w:rsidRDefault="00B7700F" w:rsidP="00B7700F">
      <w:pPr>
        <w:rPr>
          <w:sz w:val="24"/>
          <w:szCs w:val="24"/>
        </w:rPr>
      </w:pPr>
      <w:r w:rsidRPr="00B7700F">
        <w:rPr>
          <w:sz w:val="24"/>
          <w:szCs w:val="24"/>
        </w:rPr>
        <w:t xml:space="preserve">Dahl, G and A. </w:t>
      </w:r>
      <w:proofErr w:type="spellStart"/>
      <w:r w:rsidRPr="00B7700F">
        <w:rPr>
          <w:sz w:val="24"/>
          <w:szCs w:val="24"/>
        </w:rPr>
        <w:t>Hjort</w:t>
      </w:r>
      <w:proofErr w:type="spellEnd"/>
      <w:r w:rsidRPr="00B7700F">
        <w:rPr>
          <w:sz w:val="24"/>
          <w:szCs w:val="24"/>
        </w:rPr>
        <w:t xml:space="preserve">. 1985. Development as message and meaning. </w:t>
      </w:r>
      <w:r w:rsidRPr="00B7700F">
        <w:rPr>
          <w:i/>
          <w:sz w:val="24"/>
          <w:szCs w:val="24"/>
        </w:rPr>
        <w:t>Ethnos</w:t>
      </w:r>
      <w:r w:rsidRPr="00B7700F">
        <w:rPr>
          <w:sz w:val="24"/>
          <w:szCs w:val="24"/>
        </w:rPr>
        <w:t xml:space="preserve"> 49: 165-185.</w:t>
      </w:r>
    </w:p>
    <w:p w:rsidR="00B7700F" w:rsidRDefault="00B7700F" w:rsidP="00B7700F">
      <w:pPr>
        <w:rPr>
          <w:sz w:val="24"/>
          <w:szCs w:val="24"/>
        </w:rPr>
      </w:pPr>
      <w:r w:rsidRPr="00B7700F">
        <w:rPr>
          <w:sz w:val="24"/>
          <w:szCs w:val="24"/>
          <w:lang w:val="sv-SE"/>
        </w:rPr>
        <w:t xml:space="preserve">Dellenborg, L., C. Skott and E. Jakobsson. </w:t>
      </w:r>
      <w:r w:rsidRPr="00B7700F">
        <w:rPr>
          <w:sz w:val="24"/>
          <w:szCs w:val="24"/>
        </w:rPr>
        <w:t>2012. Transcultural encounters in a medical ward in Sweden: Experiences of health care practitioners. Journal of Transcultural Nursing 23(4): 342</w:t>
      </w:r>
      <w:r>
        <w:rPr>
          <w:sz w:val="24"/>
          <w:szCs w:val="24"/>
        </w:rPr>
        <w:t>-</w:t>
      </w:r>
      <w:r w:rsidRPr="00B7700F">
        <w:rPr>
          <w:sz w:val="24"/>
          <w:szCs w:val="24"/>
        </w:rPr>
        <w:t>350.</w:t>
      </w:r>
    </w:p>
    <w:p w:rsidR="00B7700F" w:rsidRPr="00B7700F" w:rsidRDefault="00B7700F" w:rsidP="00B7700F">
      <w:pPr>
        <w:rPr>
          <w:sz w:val="24"/>
          <w:szCs w:val="24"/>
        </w:rPr>
      </w:pPr>
      <w:r w:rsidRPr="00B7700F">
        <w:rPr>
          <w:sz w:val="24"/>
          <w:szCs w:val="24"/>
        </w:rPr>
        <w:t xml:space="preserve">Finnström, S. 2008. </w:t>
      </w:r>
      <w:r w:rsidRPr="00B7700F">
        <w:rPr>
          <w:i/>
          <w:sz w:val="24"/>
          <w:szCs w:val="24"/>
        </w:rPr>
        <w:t>Living with Bad Surroundings</w:t>
      </w:r>
      <w:r w:rsidRPr="00B7700F">
        <w:rPr>
          <w:sz w:val="24"/>
          <w:szCs w:val="24"/>
        </w:rPr>
        <w:t>. Durham, NC: Duke University Press.</w:t>
      </w:r>
    </w:p>
    <w:p w:rsidR="00B7700F" w:rsidRPr="00B7700F" w:rsidRDefault="00B7700F" w:rsidP="00B7700F">
      <w:pPr>
        <w:rPr>
          <w:sz w:val="24"/>
          <w:szCs w:val="24"/>
        </w:rPr>
      </w:pPr>
      <w:proofErr w:type="spellStart"/>
      <w:r w:rsidRPr="00B7700F">
        <w:rPr>
          <w:sz w:val="24"/>
          <w:szCs w:val="24"/>
        </w:rPr>
        <w:t>Frykman</w:t>
      </w:r>
      <w:proofErr w:type="spellEnd"/>
      <w:r w:rsidRPr="00B7700F">
        <w:rPr>
          <w:sz w:val="24"/>
          <w:szCs w:val="24"/>
        </w:rPr>
        <w:t xml:space="preserve">, J. 2012. A Tale of Two Disciplines: European Ethnology and the Anthropology of Europe. In </w:t>
      </w:r>
      <w:r w:rsidRPr="00B7700F">
        <w:rPr>
          <w:i/>
          <w:sz w:val="24"/>
          <w:szCs w:val="24"/>
        </w:rPr>
        <w:t>A Companion to the Anthropology of Europe</w:t>
      </w:r>
      <w:r w:rsidRPr="00B7700F">
        <w:rPr>
          <w:sz w:val="24"/>
          <w:szCs w:val="24"/>
        </w:rPr>
        <w:t xml:space="preserve"> (</w:t>
      </w:r>
      <w:proofErr w:type="spellStart"/>
      <w:proofErr w:type="gramStart"/>
      <w:r w:rsidRPr="00B7700F">
        <w:rPr>
          <w:sz w:val="24"/>
          <w:szCs w:val="24"/>
        </w:rPr>
        <w:t>eds</w:t>
      </w:r>
      <w:proofErr w:type="spellEnd"/>
      <w:proofErr w:type="gramEnd"/>
      <w:r w:rsidRPr="00B7700F">
        <w:rPr>
          <w:sz w:val="24"/>
          <w:szCs w:val="24"/>
        </w:rPr>
        <w:t xml:space="preserve">) U. </w:t>
      </w:r>
      <w:proofErr w:type="spellStart"/>
      <w:r w:rsidRPr="00B7700F">
        <w:rPr>
          <w:sz w:val="24"/>
          <w:szCs w:val="24"/>
        </w:rPr>
        <w:t>Kockel</w:t>
      </w:r>
      <w:proofErr w:type="spellEnd"/>
      <w:r w:rsidRPr="00B7700F">
        <w:rPr>
          <w:sz w:val="24"/>
          <w:szCs w:val="24"/>
        </w:rPr>
        <w:t xml:space="preserve">, M. N. </w:t>
      </w:r>
      <w:proofErr w:type="spellStart"/>
      <w:r w:rsidRPr="00B7700F">
        <w:rPr>
          <w:sz w:val="24"/>
          <w:szCs w:val="24"/>
        </w:rPr>
        <w:t>Craith</w:t>
      </w:r>
      <w:proofErr w:type="spellEnd"/>
      <w:r w:rsidRPr="00B7700F">
        <w:rPr>
          <w:sz w:val="24"/>
          <w:szCs w:val="24"/>
        </w:rPr>
        <w:t xml:space="preserve"> and J. </w:t>
      </w:r>
      <w:proofErr w:type="spellStart"/>
      <w:r w:rsidRPr="00B7700F">
        <w:rPr>
          <w:sz w:val="24"/>
          <w:szCs w:val="24"/>
        </w:rPr>
        <w:t>Frykman</w:t>
      </w:r>
      <w:proofErr w:type="spellEnd"/>
      <w:r w:rsidRPr="00B7700F">
        <w:rPr>
          <w:sz w:val="24"/>
          <w:szCs w:val="24"/>
        </w:rPr>
        <w:t>. Malden, MA, and Oxford: Wiley-Blackwell.</w:t>
      </w:r>
    </w:p>
    <w:p w:rsidR="00B7700F" w:rsidRPr="00B7700F" w:rsidRDefault="00B7700F" w:rsidP="00B7700F">
      <w:pPr>
        <w:rPr>
          <w:sz w:val="24"/>
          <w:szCs w:val="24"/>
        </w:rPr>
      </w:pPr>
      <w:proofErr w:type="spellStart"/>
      <w:r w:rsidRPr="00B7700F">
        <w:rPr>
          <w:sz w:val="24"/>
          <w:szCs w:val="24"/>
        </w:rPr>
        <w:t>Guinée</w:t>
      </w:r>
      <w:proofErr w:type="spellEnd"/>
      <w:r w:rsidRPr="00B7700F">
        <w:rPr>
          <w:sz w:val="24"/>
          <w:szCs w:val="24"/>
        </w:rPr>
        <w:t xml:space="preserve"> </w:t>
      </w:r>
      <w:proofErr w:type="spellStart"/>
      <w:r w:rsidRPr="00B7700F">
        <w:rPr>
          <w:sz w:val="24"/>
          <w:szCs w:val="24"/>
        </w:rPr>
        <w:t>Matin</w:t>
      </w:r>
      <w:proofErr w:type="spellEnd"/>
      <w:r w:rsidRPr="00B7700F">
        <w:rPr>
          <w:sz w:val="24"/>
          <w:szCs w:val="24"/>
        </w:rPr>
        <w:t xml:space="preserve">. 2015. Ebola in </w:t>
      </w:r>
      <w:proofErr w:type="spellStart"/>
      <w:r w:rsidRPr="00B7700F">
        <w:rPr>
          <w:sz w:val="24"/>
          <w:szCs w:val="24"/>
        </w:rPr>
        <w:t>Kindia</w:t>
      </w:r>
      <w:proofErr w:type="spellEnd"/>
      <w:r w:rsidRPr="00B7700F">
        <w:rPr>
          <w:sz w:val="24"/>
          <w:szCs w:val="24"/>
        </w:rPr>
        <w:t xml:space="preserve">: </w:t>
      </w:r>
      <w:proofErr w:type="spellStart"/>
      <w:r w:rsidRPr="00B7700F">
        <w:rPr>
          <w:sz w:val="24"/>
          <w:szCs w:val="24"/>
        </w:rPr>
        <w:t>Samayah</w:t>
      </w:r>
      <w:proofErr w:type="spellEnd"/>
      <w:r w:rsidRPr="00B7700F">
        <w:rPr>
          <w:sz w:val="24"/>
          <w:szCs w:val="24"/>
        </w:rPr>
        <w:t xml:space="preserve"> Revolts and Hunts His Two Health Workers. </w:t>
      </w:r>
      <w:r w:rsidRPr="00B7700F">
        <w:rPr>
          <w:i/>
          <w:sz w:val="24"/>
          <w:szCs w:val="24"/>
        </w:rPr>
        <w:t>Gunneematin.com</w:t>
      </w:r>
      <w:r w:rsidRPr="00B7700F">
        <w:rPr>
          <w:sz w:val="24"/>
          <w:szCs w:val="24"/>
        </w:rPr>
        <w:t xml:space="preserve"> 15 March</w:t>
      </w:r>
      <w:r w:rsidRPr="00B7700F">
        <w:rPr>
          <w:sz w:val="24"/>
          <w:szCs w:val="24"/>
        </w:rPr>
        <w:t xml:space="preserve"> 2015</w:t>
      </w:r>
      <w:r w:rsidRPr="00B7700F">
        <w:rPr>
          <w:sz w:val="24"/>
          <w:szCs w:val="24"/>
        </w:rPr>
        <w:t>. Accessed on 19 February 2020: http://guineematin.com/2015/03/15/ebola-a kindia-samayahse-revolte-et-chasse-ses-deux-https://www.google.com/search?q=ne+touche+pas+mon+pote&amp;client=firefox-b-d&amp;source=lnms&amp;tbm=vid&amp;sa=X&amp;ved=2ahUKEwjB8ci4tvXuAhXNyqQKHQsKDTQQ_AUoAnoECAIQBAagents-de-sante/</w:t>
      </w:r>
      <w:r>
        <w:rPr>
          <w:sz w:val="24"/>
          <w:szCs w:val="24"/>
        </w:rPr>
        <w:t xml:space="preserve"> </w:t>
      </w:r>
    </w:p>
    <w:p w:rsidR="00B7700F" w:rsidRPr="00B7700F" w:rsidRDefault="00B7700F" w:rsidP="00B7700F">
      <w:pPr>
        <w:rPr>
          <w:sz w:val="24"/>
          <w:szCs w:val="24"/>
        </w:rPr>
      </w:pPr>
      <w:r w:rsidRPr="00B7700F">
        <w:rPr>
          <w:sz w:val="24"/>
          <w:szCs w:val="24"/>
        </w:rPr>
        <w:t xml:space="preserve">Hagberg, S. 2005. </w:t>
      </w:r>
      <w:proofErr w:type="spellStart"/>
      <w:r w:rsidRPr="00B7700F">
        <w:rPr>
          <w:sz w:val="24"/>
          <w:szCs w:val="24"/>
        </w:rPr>
        <w:t>Deadling</w:t>
      </w:r>
      <w:proofErr w:type="spellEnd"/>
      <w:r w:rsidRPr="00B7700F">
        <w:rPr>
          <w:sz w:val="24"/>
          <w:szCs w:val="24"/>
        </w:rPr>
        <w:t xml:space="preserve"> with Dilemmas: Violent Farmer-Pastoralist Conflicts in Burkina Faso. In </w:t>
      </w:r>
      <w:r w:rsidRPr="00B7700F">
        <w:rPr>
          <w:i/>
          <w:sz w:val="24"/>
          <w:szCs w:val="24"/>
        </w:rPr>
        <w:t>No Peace, No War: An Anthropology of Contemporary Armed Conflicts</w:t>
      </w:r>
      <w:r w:rsidRPr="00B7700F">
        <w:rPr>
          <w:sz w:val="24"/>
          <w:szCs w:val="24"/>
        </w:rPr>
        <w:t xml:space="preserve"> (ed.) P. Richards. Athens: Ohio University Press; Oxford: James </w:t>
      </w:r>
      <w:proofErr w:type="spellStart"/>
      <w:r w:rsidRPr="00B7700F">
        <w:rPr>
          <w:sz w:val="24"/>
          <w:szCs w:val="24"/>
        </w:rPr>
        <w:t>Currey</w:t>
      </w:r>
      <w:proofErr w:type="spellEnd"/>
      <w:r w:rsidRPr="00B7700F">
        <w:rPr>
          <w:sz w:val="24"/>
          <w:szCs w:val="24"/>
        </w:rPr>
        <w:t>.</w:t>
      </w:r>
    </w:p>
    <w:p w:rsidR="00B7700F" w:rsidRPr="00B7700F" w:rsidRDefault="00B7700F" w:rsidP="00B7700F">
      <w:pPr>
        <w:rPr>
          <w:sz w:val="24"/>
          <w:szCs w:val="24"/>
        </w:rPr>
      </w:pPr>
    </w:p>
    <w:p w:rsidR="00B7700F" w:rsidRPr="00B7700F" w:rsidRDefault="00B7700F" w:rsidP="00B7700F">
      <w:pPr>
        <w:rPr>
          <w:sz w:val="24"/>
          <w:szCs w:val="24"/>
        </w:rPr>
      </w:pPr>
    </w:p>
    <w:p w:rsidR="00B7700F" w:rsidRPr="00B7700F" w:rsidRDefault="00B7700F" w:rsidP="00B7700F">
      <w:pPr>
        <w:rPr>
          <w:sz w:val="24"/>
          <w:szCs w:val="24"/>
        </w:rPr>
      </w:pPr>
    </w:p>
    <w:p w:rsidR="00C76AF5" w:rsidRPr="00B7700F" w:rsidRDefault="00C76AF5">
      <w:pPr>
        <w:rPr>
          <w:sz w:val="24"/>
          <w:szCs w:val="24"/>
        </w:rPr>
      </w:pPr>
    </w:p>
    <w:sectPr w:rsidR="00C76AF5" w:rsidRPr="00B770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0F"/>
    <w:rsid w:val="00B7700F"/>
    <w:rsid w:val="00C7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58DE"/>
  <w15:chartTrackingRefBased/>
  <w15:docId w15:val="{44AF6819-8773-4D15-84ED-3240E55F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2782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Hagberg</dc:creator>
  <cp:keywords/>
  <dc:description/>
  <cp:lastModifiedBy>Sten Hagberg</cp:lastModifiedBy>
  <cp:revision>1</cp:revision>
  <dcterms:created xsi:type="dcterms:W3CDTF">2021-05-01T20:40:00Z</dcterms:created>
  <dcterms:modified xsi:type="dcterms:W3CDTF">2021-05-01T20:48:00Z</dcterms:modified>
</cp:coreProperties>
</file>